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3C3C3C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C3C3C"/>
          <w:spacing w:val="15"/>
          <w:kern w:val="0"/>
          <w:sz w:val="28"/>
          <w:szCs w:val="28"/>
          <w:shd w:val="clear" w:color="auto" w:fill="FFFFFF"/>
        </w:rPr>
        <w:t>附件2</w:t>
      </w:r>
    </w:p>
    <w:p>
      <w:pPr>
        <w:ind w:firstLine="700" w:firstLineChars="200"/>
        <w:jc w:val="center"/>
        <w:rPr>
          <w:rFonts w:ascii="黑体" w:hAnsi="黑体" w:eastAsia="黑体" w:cs="黑体"/>
          <w:color w:val="3C3C3C"/>
          <w:spacing w:val="15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3C3C3C"/>
          <w:spacing w:val="15"/>
          <w:kern w:val="0"/>
          <w:sz w:val="32"/>
          <w:szCs w:val="32"/>
          <w:shd w:val="clear" w:color="auto" w:fill="FFFFFF"/>
        </w:rPr>
        <w:t>教研员公开选聘业务考核量化评分细则</w:t>
      </w:r>
      <w:bookmarkEnd w:id="0"/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学术荣誉称号。获县级及以上骨干教师、学科带头人、特级教师、拔尖人才或地市级及以上教坛新星称号。骨干教师县级、地市级分别赋3、5分；地市级学科带头人赋6分；地市级、省级教坛新星分别赋3、5分；县级、地市级、省级拔尖人才（特级教师）分别赋4、7、10分。取最高一项计分，最高10分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2.教育教学表彰。综合性表彰：县级、地市级、省级、国家级分别赋2、4、7、10分，单项标准减半赋分。取最高一项计分，最高10分。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3.年度考核。近五年年度考核优秀，每次2分，最高10分。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4.课题研究。课题县、市、省、国家级分别赋3、7、13、20分；教学成果县级二等奖起赋2分，每上升1个等级增加2分。最多取两项最高分，满20分止。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5.教学竞赛（优质课、基本功、实验说课等）。从县级一等奖开始计2分，每上升1个等级增加2分，满分20分。同一竞赛只取最高一项计分，满20分止。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6.论文获奖。从县级一等奖开始计1分，每上升1个等级增加1分；最多取2次最高分计分，最高10分。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7.论文发表。市级每篇3分，一般刊物每篇5分，核心期刊每篇10分，最多取最高两篇计分，满10分止（此项赋分须经三分之二评委通过）。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8.教学示范。在县级及以上教研活动中公开执教研修课、观摩课、示范课，或录制线上资源并在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以上平台播出。县级、市级、省级分别赋2、4、6分。最多取最高两次计分，满10分止。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9.参与命题。近五年参加过地市级及以上统考命题，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市级、省级及以上每次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分别赋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、5分，满10分止，出现明显失误的不计分。</w:t>
      </w:r>
    </w:p>
    <w:p/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mMxN2JiYjQxNmE2MDNhZmZhYzAwYjRjOTE3NDQifQ=="/>
  </w:docVars>
  <w:rsids>
    <w:rsidRoot w:val="421B25F5"/>
    <w:rsid w:val="421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2022-12-29T03:48:00Z</dcterms:created>
  <dc:creator>致中和</dc:creator>
  <cp:lastModifiedBy>致中和</cp:lastModifiedBy>
  <dcterms:modified xsi:type="dcterms:W3CDTF">2022-12-29T03:49:32Z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99E52F2F81164E2796C515A724A1E3BA</vt:lpwstr>
  </property>
</Properties>
</file>